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4275B042" w:rsidR="00EE60C0" w:rsidRPr="00ED7FE0" w:rsidRDefault="00E53C67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lang w:val="en-US"/>
        </w:rPr>
        <w:t>Punë</w:t>
      </w:r>
      <w:proofErr w:type="spellEnd"/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3697D802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439CF">
        <w:rPr>
          <w:b/>
          <w:bCs/>
          <w:sz w:val="22"/>
          <w:szCs w:val="22"/>
          <w:lang w:val="en-US"/>
        </w:rPr>
        <w:t>04.06</w:t>
      </w:r>
      <w:r w:rsidR="002D7003">
        <w:rPr>
          <w:b/>
          <w:bCs/>
          <w:sz w:val="22"/>
          <w:szCs w:val="22"/>
          <w:lang w:val="en-US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4FD6D36A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2D7003">
              <w:rPr>
                <w:b/>
                <w:bCs/>
                <w:sz w:val="22"/>
                <w:szCs w:val="22"/>
                <w:lang w:val="en-US"/>
              </w:rPr>
              <w:t>00120-05-2024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iCs/>
                <w:color w:val="0000C8"/>
                <w:sz w:val="22"/>
                <w:szCs w:val="22"/>
              </w:rPr>
            </w:r>
            <w:r w:rsidR="0010096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6F2A1BE6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D700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06B1F906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D7003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63A59A73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2D7003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3230EA8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iCs/>
                <w:color w:val="0000C8"/>
                <w:sz w:val="22"/>
                <w:szCs w:val="22"/>
              </w:rPr>
            </w:r>
            <w:r w:rsidR="0010096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iCs/>
                <w:color w:val="0000C8"/>
                <w:sz w:val="22"/>
                <w:szCs w:val="22"/>
              </w:rPr>
            </w:r>
            <w:r w:rsidR="0010096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2D19AC3E" w:rsidR="003A713C" w:rsidRPr="0027243F" w:rsidRDefault="006439CF" w:rsidP="003A713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Renovimi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sz w:val="22"/>
                <w:szCs w:val="22"/>
                <w:lang w:val="en-US"/>
              </w:rPr>
              <w:t>Zyrave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Arkave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Kujdesi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Klientët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Hapësira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‘</w:t>
            </w:r>
            <w:proofErr w:type="spellStart"/>
            <w:r>
              <w:rPr>
                <w:sz w:val="22"/>
                <w:szCs w:val="22"/>
                <w:lang w:val="en-US"/>
              </w:rPr>
              <w:t>Rrethit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’ </w:t>
            </w:r>
            <w:proofErr w:type="spellStart"/>
            <w:r>
              <w:rPr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Prishtinës</w:t>
            </w:r>
            <w:proofErr w:type="spellEnd"/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9D30CC9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bCs/>
                <w:sz w:val="22"/>
                <w:szCs w:val="22"/>
              </w:rPr>
            </w:r>
            <w:r w:rsidR="0010096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275DB43F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bCs/>
                <w:sz w:val="22"/>
                <w:szCs w:val="22"/>
              </w:rPr>
            </w:r>
            <w:r w:rsidR="0010096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23522BA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bCs/>
                <w:sz w:val="22"/>
                <w:szCs w:val="22"/>
              </w:rPr>
            </w:r>
            <w:r w:rsidR="0010096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351D6C7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6D35B2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A97C4D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5460896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456DE1D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3861A5F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7C876686" w:rsidR="00B83A45" w:rsidRPr="0027243F" w:rsidRDefault="00E53C67" w:rsidP="00E53C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KEDS OBIJEKT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090F44C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29CD2D61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51FA15AA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3931FF7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66F4A7FB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09550782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1DEA5F1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3F19C513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45BDF196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2A1C8553" w:rsidR="00443A34" w:rsidRPr="0027243F" w:rsidRDefault="006439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Renovimi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sz w:val="22"/>
                <w:szCs w:val="22"/>
                <w:lang w:val="en-US"/>
              </w:rPr>
              <w:t>Zyrave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Arkave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Kujdesi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Klientët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Hapësira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‘</w:t>
            </w:r>
            <w:proofErr w:type="spellStart"/>
            <w:r>
              <w:rPr>
                <w:sz w:val="22"/>
                <w:szCs w:val="22"/>
                <w:lang w:val="en-US"/>
              </w:rPr>
              <w:t>Rrethit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’ </w:t>
            </w:r>
            <w:proofErr w:type="spellStart"/>
            <w:r>
              <w:rPr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Prishtinës</w:t>
            </w:r>
            <w:proofErr w:type="spellEnd"/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5179DBBF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224039A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34F49D28" w:rsidR="00983E5A" w:rsidRPr="0027243F" w:rsidRDefault="00E53C67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763093DC" w:rsidR="00983E5A" w:rsidRPr="0027243F" w:rsidRDefault="00E53C67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5F23B531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D7003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354997.49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0B695EC9" w:rsidR="00EE60C0" w:rsidRPr="00EE60C0" w:rsidRDefault="002D7003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 xml:space="preserve">Deri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në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renovim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obijektev</w:t>
            </w:r>
            <w:r w:rsidR="00E53C67">
              <w:rPr>
                <w:sz w:val="22"/>
                <w:szCs w:val="22"/>
                <w:highlight w:val="lightGray"/>
                <w:lang w:val="en-US"/>
              </w:rPr>
              <w:t>e</w:t>
            </w:r>
            <w:proofErr w:type="spellEnd"/>
            <w:r w:rsidR="002865BA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2865BA">
              <w:rPr>
                <w:sz w:val="22"/>
                <w:szCs w:val="22"/>
                <w:highlight w:val="lightGray"/>
                <w:lang w:val="en-US"/>
              </w:rPr>
              <w:t>dhe</w:t>
            </w:r>
            <w:proofErr w:type="spellEnd"/>
            <w:r w:rsidR="002865BA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2865BA">
              <w:rPr>
                <w:sz w:val="22"/>
                <w:szCs w:val="22"/>
                <w:highlight w:val="lightGray"/>
                <w:lang w:val="en-US"/>
              </w:rPr>
              <w:t>pagesës</w:t>
            </w:r>
            <w:proofErr w:type="spellEnd"/>
            <w:r w:rsidR="002865BA">
              <w:rPr>
                <w:sz w:val="22"/>
                <w:szCs w:val="22"/>
                <w:highlight w:val="lightGray"/>
                <w:lang w:val="en-US"/>
              </w:rPr>
              <w:t xml:space="preserve"> se </w:t>
            </w:r>
            <w:proofErr w:type="spellStart"/>
            <w:r w:rsidR="002865BA">
              <w:rPr>
                <w:sz w:val="22"/>
                <w:szCs w:val="22"/>
                <w:highlight w:val="lightGray"/>
                <w:lang w:val="en-US"/>
              </w:rPr>
              <w:t>fundit</w:t>
            </w:r>
            <w:proofErr w:type="spellEnd"/>
            <w:r w:rsidR="002865BA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2865BA">
              <w:rPr>
                <w:sz w:val="22"/>
                <w:szCs w:val="22"/>
                <w:highlight w:val="lightGray"/>
                <w:lang w:val="en-US"/>
              </w:rPr>
              <w:t>nga</w:t>
            </w:r>
            <w:proofErr w:type="spellEnd"/>
            <w:r w:rsidR="002865BA">
              <w:rPr>
                <w:sz w:val="22"/>
                <w:szCs w:val="22"/>
                <w:highlight w:val="lightGray"/>
                <w:lang w:val="en-US"/>
              </w:rPr>
              <w:t xml:space="preserve"> AK 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62D4994B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DF5B8D1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041F8CE8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2D7003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1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2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3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4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3A211B0F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  <w:r w:rsidR="00A240D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A240D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Duke i përkitur grupit </w:t>
                  </w:r>
                  <w:proofErr w:type="spellStart"/>
                  <w:r w:rsidR="00A240D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tarfor</w:t>
                  </w:r>
                  <w:proofErr w:type="spellEnd"/>
                  <w:r w:rsidR="00A240D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1/3,6/6,70/2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06F71E00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  <w:r w:rsidR="00A240D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A240D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Duke i përkitur grupit </w:t>
                  </w:r>
                  <w:proofErr w:type="spellStart"/>
                  <w:r w:rsidR="00A240D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tarfor</w:t>
                  </w:r>
                  <w:proofErr w:type="spellEnd"/>
                  <w:r w:rsidR="00A240D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1/3,6/6,70/2</w:t>
                  </w:r>
                  <w:bookmarkStart w:id="35" w:name="_GoBack"/>
                  <w:bookmarkEnd w:id="35"/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201C36FD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E2005E">
              <w:rPr>
                <w:bCs/>
                <w:sz w:val="22"/>
                <w:szCs w:val="22"/>
                <w:lang w:val="en-US"/>
              </w:rPr>
              <w:t xml:space="preserve">1.Kontrata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projekteve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 w:rsidR="00DE1A0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1A06"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 w:rsidR="00DE1A0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1A06">
              <w:rPr>
                <w:bCs/>
                <w:sz w:val="22"/>
                <w:szCs w:val="22"/>
                <w:lang w:val="en-US"/>
              </w:rPr>
              <w:t>ngjajshme</w:t>
            </w:r>
            <w:proofErr w:type="spellEnd"/>
            <w:r w:rsidR="00DE1A06"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DE1A06">
              <w:rPr>
                <w:bCs/>
                <w:sz w:val="22"/>
                <w:szCs w:val="22"/>
                <w:lang w:val="en-US"/>
              </w:rPr>
              <w:t>vlerë</w:t>
            </w:r>
            <w:proofErr w:type="spellEnd"/>
            <w:r w:rsidR="00DE1A0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1A06">
              <w:rPr>
                <w:bCs/>
                <w:sz w:val="22"/>
                <w:szCs w:val="22"/>
                <w:lang w:val="en-US"/>
              </w:rPr>
              <w:t>deri</w:t>
            </w:r>
            <w:proofErr w:type="spellEnd"/>
            <w:r w:rsidR="00DE1A06">
              <w:rPr>
                <w:bCs/>
                <w:sz w:val="22"/>
                <w:szCs w:val="22"/>
                <w:lang w:val="en-US"/>
              </w:rPr>
              <w:t xml:space="preserve"> ne 7</w:t>
            </w:r>
            <w:r w:rsidRPr="00E2005E">
              <w:rPr>
                <w:bCs/>
                <w:sz w:val="22"/>
                <w:szCs w:val="22"/>
                <w:lang w:val="en-US"/>
              </w:rPr>
              <w:t xml:space="preserve">00,000.00€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tri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vitet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fundit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data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publikimit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njoftimit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kontratë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rast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konzorciumit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Grupit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Operatorëve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Ekonomik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lideri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përmbush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60 %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vlerë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referencave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>.</w:t>
            </w:r>
          </w:p>
          <w:p w14:paraId="62E40218" w14:textId="1BB23EB4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  <w:r w:rsidRPr="00E2005E">
              <w:rPr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  <w:proofErr w:type="gramStart"/>
            <w:r w:rsidRPr="00E2005E">
              <w:rPr>
                <w:bCs/>
                <w:sz w:val="22"/>
                <w:szCs w:val="22"/>
                <w:lang w:val="en-US"/>
              </w:rPr>
              <w:t>2.Operatori</w:t>
            </w:r>
            <w:proofErr w:type="gram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ekonomik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ofrojë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dëshmi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kënaqshëme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Autoritetit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Kontraktues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qarkullimi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Operatorit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Ekonomik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tre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vitet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fundit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jo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më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pak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se </w:t>
            </w:r>
            <w:r w:rsidR="00DE1A06">
              <w:rPr>
                <w:bCs/>
                <w:sz w:val="22"/>
                <w:szCs w:val="22"/>
                <w:lang w:val="en-US"/>
              </w:rPr>
              <w:t>500</w:t>
            </w:r>
            <w:r w:rsidRPr="00E2005E">
              <w:rPr>
                <w:bCs/>
                <w:sz w:val="22"/>
                <w:szCs w:val="22"/>
                <w:lang w:val="en-US"/>
              </w:rPr>
              <w:t xml:space="preserve">,000.00 Euro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rast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konzorciumit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Grupit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Operatorëve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Ekonomik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lideri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përmbush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60 %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vlerë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Qarkullimit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>.</w:t>
            </w: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6F43617F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 w:rsidRPr="00E2005E">
              <w:rPr>
                <w:bCs/>
                <w:sz w:val="22"/>
                <w:szCs w:val="22"/>
                <w:lang w:val="en-US"/>
              </w:rPr>
              <w:t>1.-</w:t>
            </w:r>
            <w:proofErr w:type="gram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Lista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kontratave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ngjashme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tri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vitet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shkuara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vulosura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nënshkruara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OE, minimum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sa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vlera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planifikimit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data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publikimit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njoftimit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kontratë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. -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ofrohen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dëshmi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realzimin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tyre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bashkangjitur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pranimi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si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dëshmi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lëshuara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kontraktuesi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perfundim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punimeve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kontratatave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perfunduara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>.</w:t>
            </w:r>
          </w:p>
          <w:p w14:paraId="3741236B" w14:textId="4DDB406D" w:rsidR="002003A1" w:rsidRPr="0027243F" w:rsidRDefault="00EE60C0" w:rsidP="00EE60C0">
            <w:pPr>
              <w:rPr>
                <w:b/>
                <w:bCs/>
                <w:sz w:val="22"/>
                <w:szCs w:val="22"/>
              </w:rPr>
            </w:pPr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2005E">
              <w:rPr>
                <w:bCs/>
                <w:sz w:val="22"/>
                <w:szCs w:val="22"/>
                <w:lang w:val="en-US"/>
              </w:rPr>
              <w:t>2.Dëshmi</w:t>
            </w:r>
            <w:proofErr w:type="gram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dokument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banka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qarkullimin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OE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ose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pasqyrat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auditura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financiare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ose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deklaratat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vjetore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tatimore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dorëzuara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ne ATK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apo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Raport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banka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periudhen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2005E">
              <w:rPr>
                <w:bCs/>
                <w:sz w:val="22"/>
                <w:szCs w:val="22"/>
                <w:lang w:val="en-US"/>
              </w:rPr>
              <w:t>kerkuar</w:t>
            </w:r>
            <w:proofErr w:type="spellEnd"/>
            <w:r w:rsidRPr="00E2005E"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2143C5FC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1.Operatori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Ekonomik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rastin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dhenies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ofertes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zotohet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deklaraten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betim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njejti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marr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pergjegjesin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do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zbatoj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perpikeri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gjithe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dokumetacion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ligjet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udhezimet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vijim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: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Ligji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2004/15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Ndërtimin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Ligji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2003/19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Siguri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Mbrojtje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Shëndetit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Punësuarve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Ambientit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Ligji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04/L-060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Mbeturina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shtojca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Ligji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08/L-071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ndryshimin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plotësimin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ligjit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nr.04/l-060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Mbeturina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4E76131F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2.Menaxheri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arkitekturës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master me minimum 15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vite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(3)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lëmia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kërkuar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pas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diplomimit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trajnuar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sigurinë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shëndetin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prane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MPMS -se.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licensuar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fushën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trashëgimisë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kulturore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çertifikata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noterizuar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çertifikuar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vlersimin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pronave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</w:p>
          <w:p w14:paraId="72CBE513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3.Një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apo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master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ndërtimtarise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drejtimi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konstruktiv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pervoje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minimum 10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vjeqare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4.Një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elektros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drejtimi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elektronik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master me minimum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vite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(3)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lëmia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kërkuar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pas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diplomimit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certifikuar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Auditim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Energjise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Ndertesa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Ndriqim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publik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sipas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Standartit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DIN 16247. </w:t>
            </w:r>
          </w:p>
          <w:p w14:paraId="552B485D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5.Një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hidroteknikes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master me minimum tri (3)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vite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pas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diplomimit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Certifikuar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Menaxhimin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Publike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</w:p>
          <w:p w14:paraId="059957CB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6.Nje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(master)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makinerise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drejtimi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termoenergjetike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pervoje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(5)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vite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certifikuar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Auditimin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Energjise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Ndertesa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sipas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standardit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DIN EN 16247. </w:t>
            </w:r>
          </w:p>
          <w:p w14:paraId="5F6A69F3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7.Një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licensuar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Gjeodezise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minimum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(3)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vite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pas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diplomimit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253CB633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8.Stafi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Lista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punëtoreve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OE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minimum 10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dhjetë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punëtor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aktive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ku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prej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tyre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: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Bagerist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certifikuar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Moler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Fasader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Zdrukthtar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Dy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(2)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elektroinstalues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elektronikes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Dy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(2) 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çertifikuar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saldim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Prej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numrit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përgjithshëm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stafit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paku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trajnuar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sigurinë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shëndetin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</w:p>
          <w:p w14:paraId="723A2DAA" w14:textId="583931EA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9.-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Dy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(2) GPS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matje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gjeodezike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Eskavator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Bobcat 1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copë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kamion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krane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kiper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10m3.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Eskavator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Kamionet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Furgon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Kombi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Kompesor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ajri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thyrje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max. 1 ton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Burmashine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Motorr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sharre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prerjen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betonit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Prerese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asfaltit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Makine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prerjen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qeramikave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Pesë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(5)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Çekiq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elektrik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(TRAPAN),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shpuese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rrotulluese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daltë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Pesë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(5)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Shkalle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aluminit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Pajisje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matëse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laserike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Skele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Gjenerator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kapacitet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min. 15kVa.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10FF29DB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1.Deklarate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shkrim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vulosur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21DEE8C6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2.-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menaxherin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arkitekti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diplomen-kopjen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noterizuar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apo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parakontratë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emër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CV-ja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vet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gjitha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çertifikatat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tjera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pershkruara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kerkese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noterizuara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</w:p>
          <w:p w14:paraId="2D85BF11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3.Inxhinieri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kopjen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noterizuar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apo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parakontratë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emër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</w:p>
          <w:p w14:paraId="50931A25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4.Për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stafin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profesional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noterizuar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apo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parakontraten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emer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CV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vet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61A245E1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5.Për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stafin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profesional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noterizuara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apo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parakontraten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emer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CV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vet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deshmohet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Çertifikate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Ministrise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lastRenderedPageBreak/>
              <w:t>Administrimit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Pushtetit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Lokal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(MAPL). </w:t>
            </w:r>
          </w:p>
          <w:p w14:paraId="3D06554E" w14:textId="14D59AD9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6.Për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stafin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profesional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diplomen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noterizuara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apo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parakontraten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emer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CV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vet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1229C491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7.Për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stafin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profesional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gjeodeti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kenë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Çertifikaten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noterizuar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apo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parakontraten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emer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CV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vet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inxhinieri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certifikuar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Shendet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Siguri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ne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</w:p>
          <w:p w14:paraId="587C7C54" w14:textId="77777777" w:rsidR="00DE1A06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8.-Të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paraqitet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Lista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Stafit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prej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minimum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dhjete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(10)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punëtor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vulosur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OE.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paraqiten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kontratat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parakontratat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prezantohen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diplomat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stafin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deshmohen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çertifikata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trajnimet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Shëndetin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Sigurinë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deshmohen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çertifikata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stafi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teknik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per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saldim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26C86CF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9.Për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makinerinë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ofrohet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lista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automjeteve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vulosura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origjinal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deshmuara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libreza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regjistrimit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valide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faturë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blerjen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dokumentin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unik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doganor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(DUD)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emër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kompanisë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cilën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konkuron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grupit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operatoreve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ekonomik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cilët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konkurojnë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mundë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mirren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qera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mirpo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marreveshja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emër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kohëzgjatje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këtij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projekti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Lista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mjeteve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nenshkruara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vulosura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Operatori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Ekonomik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201ACF9C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sz w:val="22"/>
                <w:szCs w:val="22"/>
              </w:rPr>
            </w:r>
            <w:r w:rsidR="0010096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4663A7A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sz w:val="22"/>
                <w:szCs w:val="22"/>
              </w:rPr>
            </w:r>
            <w:r w:rsidR="0010096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sz w:val="22"/>
                <w:szCs w:val="22"/>
              </w:rPr>
            </w:r>
            <w:r w:rsidR="0010096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D8B4C2C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sz w:val="22"/>
                <w:szCs w:val="22"/>
              </w:rPr>
            </w:r>
            <w:r w:rsidR="0010096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2207231E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55E440D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72D3D905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0ABBF51F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36FEF953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sz w:val="22"/>
                <w:szCs w:val="22"/>
              </w:rPr>
            </w:r>
            <w:r w:rsidR="0010096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658F24A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100968">
              <w:rPr>
                <w:b/>
                <w:sz w:val="22"/>
                <w:szCs w:val="22"/>
              </w:rPr>
            </w:r>
            <w:r w:rsidR="0010096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496D41B3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8591615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79CA569C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F7E4A50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E35960F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6439CF">
              <w:rPr>
                <w:sz w:val="22"/>
                <w:szCs w:val="22"/>
                <w:lang w:val="en-US"/>
              </w:rPr>
              <w:t>21</w:t>
            </w:r>
            <w:r w:rsidR="002D7003">
              <w:rPr>
                <w:sz w:val="22"/>
                <w:szCs w:val="22"/>
                <w:lang w:val="en-US"/>
              </w:rPr>
              <w:t>.06.2024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2CF35D56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6439CF">
              <w:rPr>
                <w:i/>
                <w:sz w:val="22"/>
                <w:szCs w:val="22"/>
                <w:lang w:val="en-US"/>
              </w:rPr>
              <w:t>24</w:t>
            </w:r>
            <w:r w:rsidR="002D7003">
              <w:rPr>
                <w:i/>
                <w:sz w:val="22"/>
                <w:szCs w:val="22"/>
                <w:lang w:val="en-US"/>
              </w:rPr>
              <w:t>.06.2024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2D7003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2D7003">
              <w:rPr>
                <w:b/>
                <w:bCs/>
                <w:i/>
                <w:sz w:val="22"/>
                <w:szCs w:val="22"/>
                <w:lang w:val="en-US"/>
              </w:rPr>
              <w:t>OSTUMARE CARE AND THE ‘DISTRIC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04CD3677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100968">
              <w:rPr>
                <w:sz w:val="22"/>
                <w:szCs w:val="22"/>
              </w:rPr>
            </w:r>
            <w:r w:rsidR="0010096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28ABFB28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BFCCFFC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3D4429F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00968">
                    <w:rPr>
                      <w:sz w:val="22"/>
                      <w:szCs w:val="22"/>
                    </w:rPr>
                  </w:r>
                  <w:r w:rsidR="0010096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65FF1FDA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68CEF0F7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66EA5020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2D7003">
              <w:rPr>
                <w:sz w:val="22"/>
                <w:szCs w:val="22"/>
                <w:highlight w:val="lightGray"/>
                <w:lang w:val="en-US"/>
              </w:rPr>
              <w:t>90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A1AB4" w14:textId="77777777" w:rsidR="00100968" w:rsidRDefault="00100968">
      <w:r>
        <w:separator/>
      </w:r>
    </w:p>
  </w:endnote>
  <w:endnote w:type="continuationSeparator" w:id="0">
    <w:p w14:paraId="7F057FFF" w14:textId="77777777" w:rsidR="00100968" w:rsidRDefault="0010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4AA11" w14:textId="77777777" w:rsidR="00100968" w:rsidRDefault="00100968">
      <w:r>
        <w:separator/>
      </w:r>
    </w:p>
  </w:footnote>
  <w:footnote w:type="continuationSeparator" w:id="0">
    <w:p w14:paraId="6C3D3777" w14:textId="77777777" w:rsidR="00100968" w:rsidRDefault="0010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79594100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240D4">
            <w:rPr>
              <w:bCs/>
              <w:noProof/>
              <w:sz w:val="18"/>
              <w:szCs w:val="18"/>
            </w:rPr>
            <w:t>7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240D4">
            <w:rPr>
              <w:bCs/>
              <w:noProof/>
              <w:sz w:val="18"/>
              <w:szCs w:val="18"/>
            </w:rPr>
            <w:t>7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968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65BA"/>
    <w:rsid w:val="002A03C5"/>
    <w:rsid w:val="002A3BA2"/>
    <w:rsid w:val="002C7314"/>
    <w:rsid w:val="002D7003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D6C3E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D5E3B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39CF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277C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240D4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35D5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E1A06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3C67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6A5E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7</cp:revision>
  <cp:lastPrinted>2011-06-03T08:36:00Z</cp:lastPrinted>
  <dcterms:created xsi:type="dcterms:W3CDTF">2024-05-31T13:55:00Z</dcterms:created>
  <dcterms:modified xsi:type="dcterms:W3CDTF">2024-06-04T14:14:00Z</dcterms:modified>
</cp:coreProperties>
</file>